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commentRangeStart w:id="2"/>
      <w:pPr>
        <w:pStyle w:val="berschrift2"/>
      </w:pPr>
      <w:bookmarkStart w:id="2" w:name="_Toc202445603"/>
      <w:r>
        <w:t xml:space="preserve">Relevanz von KI und standardisierten Planungsdaten im </w:t>
      </w:r>
      <w:r w:rsidR="001F2790">
        <w:t>Holzbau</w:t>
      </w:r>
      <w:bookmarkEnd w:id="2"/>
      <w:r w:rsidR="00735C05">
        <w:t xml:space="preserve"> </w:t>
      </w:r>
      <w:r w:rsidR="00735C05" w:rsidRPr="00735C05">
        <w:rPr>
          <w:b w:val="0"/>
          <w:bCs/>
          <w:i/>
          <w:iCs/>
        </w:rPr>
        <w:t>später</w:t>
      </w:r>
      <w:commentRangeEnd w:id="2"/>
      <w:r>
        <w:commentReference w:id="2"/>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commentRangeStart w:id="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commentRangeEnd w:id="1"/>
      <w:r>
        <w:commentReference w:id="1"/>
      </w:r>
    </w:p>
    <w:p w14:paraId="612D7C2F" w14:textId="322CF774" w:rsidR="001517F4" w:rsidRDefault="00296EDB" w:rsidP="00B632CB">
      <w:r w:rsidRPr="00296EDB">
        <w:t xml:space="preserve">Standardisierung bezeichnet die Vereinheitlichung von Informationen, Prozessen und Begriffen mit dem Ziel, eine </w:t>
      </w:r>
      <w:r w:rsidR="00886DE8">
        <w:t>konsistente</w:t>
      </w:r>
      <w:r w:rsidRPr="00296EDB">
        <w:t xml:space="preserve"> Kommunikation zwischen den Beteiligten sicherzustellen. </w:t>
      </w:r>
      <w:r w:rsidR="00886DE8">
        <w:t>Es sollen bereit</w:t>
      </w:r>
      <w:r w:rsidR="004F0C1F">
        <w:t>s</w:t>
      </w:r>
      <w:r w:rsidR="00886DE8">
        <w:t xml:space="preserve"> bekanntes Wissen und Erfahrung wiederverwendet werden. </w:t>
      </w:r>
      <w:r w:rsidRPr="00296EDB">
        <w:t xml:space="preserve">In der Bauwirtschaft ist Standardisierung insbesondere im Kontext digitaler Planungsprozesse essenziell, um eine verlässliche, maschinenlesbare Datenbasis zu schaffen. Sie bildet die Grundlage für effiziente Zusammenarbeit, klare Zuständigkeiten und </w:t>
      </w:r>
      <w:r w:rsidR="00886DE8">
        <w:t>legt eine Qualität der Ergebnisse fest. (Quelle Iso 19650 S. 7)</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w:t>
      </w:r>
      <w:r w:rsidR="007667B6">
        <w:t xml:space="preserve">bis </w:t>
      </w:r>
      <w:r w:rsidR="002868DF">
        <w:t xml:space="preserve">nicht nutzbar </w:t>
      </w:r>
      <w:proofErr w:type="gramStart"/>
      <w:r>
        <w:t>ist</w:t>
      </w:r>
      <w:r w:rsidRPr="002868DF">
        <w:rPr>
          <w:color w:val="FF0000"/>
        </w:rPr>
        <w:t>.</w:t>
      </w:r>
      <w:r w:rsidR="002868DF" w:rsidRPr="002868DF">
        <w:rPr>
          <w:color w:val="FF0000"/>
        </w:rPr>
        <w:t>(</w:t>
      </w:r>
      <w:proofErr w:type="gramEnd"/>
      <w:r w:rsidR="002868DF" w:rsidRPr="002868DF">
        <w:rPr>
          <w:color w:val="FF0000"/>
        </w:rPr>
        <w:t>Quelle eventuell?)</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 xml:space="preserve">Die Modellierung und der anschließende Export ins IFC-Format erfolgten gemäß den Empfehlungen des BIM Holzbau Manuals von </w:t>
      </w:r>
      <w:proofErr w:type="spellStart"/>
      <w:r>
        <w:t>cadwork</w:t>
      </w:r>
      <w:proofErr w:type="spellEnd"/>
      <w:r>
        <w:t xml:space="preserve">. Die resultierende IFC-Datei wurde in der Software </w:t>
      </w:r>
      <w:proofErr w:type="spellStart"/>
      <w:r>
        <w:t>BIMvision</w:t>
      </w:r>
      <w:proofErr w:type="spellEnd"/>
      <w:r>
        <w: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w:t>
      </w:r>
      <w:r w:rsidR="00841778">
        <w:fldChar w:fldCharType="begin"/>
      </w:r>
      <w:r w:rsidR="00841778">
        <w:instrText xml:space="preserve"> REF _Ref202961587 \h </w:instrText>
      </w:r>
      <w:r w:rsidR="00841778">
        <w:fldChar w:fldCharType="separate"/>
      </w:r>
      <w:r w:rsidR="007E19F3">
        <w:t xml:space="preserve">Abbildung </w:t>
      </w:r>
      <w:r w:rsidR="007E19F3">
        <w:rPr>
          <w:noProof/>
        </w:rPr>
        <w:t>10</w:t>
      </w:r>
      <w:r w:rsidR="00841778">
        <w:fldChar w:fldCharType="end"/>
      </w:r>
      <w:r>
        <w:t xml:space="preserve">). Das Bauteil ist als </w:t>
      </w:r>
      <w:proofErr w:type="spellStart"/>
      <w:r>
        <w:t>IfcMember</w:t>
      </w:r>
      <w:proofErr w:type="spellEnd"/>
      <w:r>
        <w:t xml:space="preserve"> mit dem </w:t>
      </w:r>
      <w:proofErr w:type="spellStart"/>
      <w:r>
        <w:t>PredefinedType</w:t>
      </w:r>
      <w:proofErr w:type="spellEnd"/>
      <w:r>
        <w:t xml:space="preserve"> „STUD“ klassifiziert und in die hierarchische Struktur des Projekts eingebettet (Projekt → Gebäude → Geschoss → Bauteilgruppe „Stäbe“). Im Bereich der Mengeneigenschaften (</w:t>
      </w:r>
      <w:proofErr w:type="spellStart"/>
      <w:r>
        <w:t>BaseQuantities</w:t>
      </w:r>
      <w:proofErr w:type="spellEnd"/>
      <w:r>
        <w: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w:t>
      </w:r>
      <w:proofErr w:type="spellStart"/>
      <w:r>
        <w:t>Bounding</w:t>
      </w:r>
      <w:proofErr w:type="spellEnd"/>
      <w:r>
        <w:t xml:space="preserve"> Box in Länge, Breite und Höhe. In der Kategorie „</w:t>
      </w:r>
      <w:proofErr w:type="spellStart"/>
      <w:r>
        <w:t>Geometry</w:t>
      </w:r>
      <w:proofErr w:type="spellEnd"/>
      <w:r>
        <w:t>“ ist zudem vermerkt, dass das Bauteil über eine eigene Geometrie verfügt und keine untergeordneten Elemente besitzt.</w:t>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rsidRPr="00F446E0">
        <w:rPr>
          <w:lang w:eastAsia="de-DE"/>
        </w:rP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bookmarkStart w:id="32" w:name="_Ref203215675"/>
      <w:r>
        <w:t xml:space="preserve">Abbildung </w:t>
      </w:r>
      <w:r>
        <w:fldChar w:fldCharType="begin"/>
      </w:r>
      <w:r>
        <w:instrText xml:space="preserve"> SEQ Abbildung \* ARABIC </w:instrText>
      </w:r>
      <w:r>
        <w:fldChar w:fldCharType="separate"/>
      </w:r>
      <w:r w:rsidR="00DC0381">
        <w:rPr>
          <w:noProof/>
        </w:rPr>
        <w:t>13</w:t>
      </w:r>
      <w:r>
        <w:fldChar w:fldCharType="end"/>
      </w:r>
      <w:r>
        <w:t xml:space="preserve"> </w:t>
      </w:r>
      <w:r w:rsidRPr="004033C1">
        <w:t>Anzahl bedeutender KI-Modelle nach ausgewählten geografischen Region</w:t>
      </w:r>
      <w:r>
        <w:t xml:space="preserve">en 2024, Quelle: </w:t>
      </w:r>
      <w:sdt>
        <w:sdtPr>
          <w:alias w:val="To edit, see citavi.com/edit"/>
          <w:tag w:val="CitaviPlaceholder#eadb0a1c-eb1d-43fb-ae03-3473c22eec4b"/>
          <w:id w:val="1339193685"/>
          <w:placeholder>
            <w:docPart w:val="B7BC75F7AB4D4C888AA98004BC5E5AEA"/>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w:instrText>
          </w:r>
          <w:r>
            <w:fldChar w:fldCharType="separate"/>
          </w:r>
          <w:r w:rsidR="00B05C95">
            <w:t>(</w:t>
          </w:r>
          <w:proofErr w:type="spellStart"/>
          <w:r w:rsidR="00B05C95">
            <w:t>Maslej</w:t>
          </w:r>
          <w:proofErr w:type="spellEnd"/>
          <w:r w:rsidR="00B05C95">
            <w:t xml:space="preserve"> et al. 2025, 46)</w:t>
          </w:r>
          <w:r>
            <w:fldChar w:fldCharType="end"/>
          </w:r>
        </w:sdtContent>
      </w:sdt>
      <w:bookmarkEnd w:id="32"/>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fldChar w:fldCharType="begin"/>
      </w:r>
      <w:r>
        <w:instrText xml:space="preserve"> REF _Ref203229474 \h </w:instrText>
      </w:r>
      <w:r>
        <w:fldChar w:fldCharType="separate"/>
      </w:r>
      <w:r w:rsidR="007E19F3">
        <w:t xml:space="preserve">Abbildung </w:t>
      </w:r>
      <w:r w:rsidR="007E19F3">
        <w:rPr>
          <w:noProof/>
        </w:rPr>
        <w:t>16</w:t>
      </w:r>
      <w:r>
        <w:fldChar w:fldCharType="end"/>
      </w:r>
      <w:r>
        <w:t xml:space="preserve"> </w:t>
      </w:r>
      <w:r w:rsidRPr="001C79A2">
        <w: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rsidRPr="00BB03C1">
        <w: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w:t>
      </w:r>
      <w:proofErr w:type="spellStart"/>
      <w:r w:rsidRPr="00BB03C1">
        <w:t>Revit</w:t>
      </w:r>
      <w:proofErr w:type="spellEnd"/>
      <w:r w:rsidRPr="00BB03C1">
        <w:t xml:space="preserve">- und </w:t>
      </w:r>
      <w:proofErr w:type="spellStart"/>
      <w:r w:rsidRPr="00BB03C1">
        <w:t>Archicad</w:t>
      </w:r>
      <w:proofErr w:type="spellEnd"/>
      <w:r w:rsidRPr="00BB03C1">
        <w:t xml:space="preserve">-Dateien für die Architektur, Tekla-Modelle für die Tragwerksplanung sowie </w:t>
      </w:r>
      <w:proofErr w:type="spellStart"/>
      <w:r w:rsidRPr="00BB03C1">
        <w:t>Revit</w:t>
      </w:r>
      <w:proofErr w:type="spellEnd"/>
      <w:r w:rsidRPr="00BB03C1">
        <w: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w:t>
      </w:r>
      <w:proofErr w:type="spellStart"/>
      <w:r w:rsidRPr="00BB03C1">
        <w:t>Huvila</w:t>
      </w:r>
      <w:proofErr w:type="spellEnd"/>
      <w:r w:rsidRPr="00BB03C1">
        <w:t xml:space="preserve"> Oy geplant wurde, </w:t>
      </w:r>
      <w:proofErr w:type="spellStart"/>
      <w:r w:rsidRPr="00BB03C1">
        <w:t>Gravicon</w:t>
      </w:r>
      <w:proofErr w:type="spellEnd"/>
      <w:r w:rsidRPr="00BB03C1">
        <w:t xml:space="preserve"> für die Tragwerksplanung verantwortlich war und die TGA durch das Ingenieurbüro </w:t>
      </w:r>
      <w:proofErr w:type="spellStart"/>
      <w:r w:rsidRPr="00BB03C1">
        <w:t>Granlund</w:t>
      </w:r>
      <w:proofErr w:type="spellEnd"/>
      <w:r w:rsidRPr="00BB03C1">
        <w: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w:t>
      </w:r>
      <w:proofErr w:type="spellStart"/>
      <w:r w:rsidRPr="00BB03C1">
        <w:t>IfcElementAssembly</w:t>
      </w:r>
      <w:proofErr w:type="spellEnd"/>
      <w:r w:rsidRPr="00BB03C1">
        <w:t xml:space="preserve">-Objekten sind Typenbezeichnungen </w:t>
      </w:r>
      <w:proofErr w:type="gramStart"/>
      <w:r w:rsidRPr="00BB03C1">
        <w:t>mittels Platzhaltern</w:t>
      </w:r>
      <w:proofErr w:type="gramEnd"/>
      <w:r w:rsidRPr="00BB03C1">
        <w: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r>
      <w:r w:rsidR="004F5909">
        <w:br w:type="page"/>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rsidRPr="00B26CA9">
        <w:rPr>
          <w:noProof/>
        </w:rPr>
        <w:t>Hier kurze beschreibeung eines p</w:t>
      </w:r>
      <w:r>
        <w:rPr>
          <w:noProof/>
        </w:rPr>
        <w:t>roblems:</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p>
    <w:p w14:paraId="6473F146" w14:textId="77777777" w:rsidR="00DA3281" w:rsidRDefault="00DA3281" w:rsidP="00B572FF">
      <w:pPr>
        <w:rPr>
          <w:noProof/>
        </w:rPr>
      </w:pPr>
    </w:p>
    <w:p w14:paraId="633464B6" w14:textId="45C13A71" w:rsidR="00B26CA9" w:rsidRPr="00B26CA9" w:rsidRDefault="00B26CA9" w:rsidP="00B572FF">
      <w:pPr>
        <w:rPr>
          <w:noProof/>
        </w:rPr>
      </w:pPr>
      <w:r w:rsidRPr="00B26CA9">
        <w:rPr>
          <w:noProof/>
        </w:rP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rsidRPr="003F3C98">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w:t>
      </w:r>
      <w:proofErr w:type="spellStart"/>
      <w:r w:rsidRPr="003F3C98">
        <w:t>reported</w:t>
      </w:r>
      <w:proofErr w:type="spellEnd"/>
      <w:r w:rsidRPr="003F3C98">
        <w:t xml:space="preserve"> </w:t>
      </w:r>
      <w:proofErr w:type="spellStart"/>
      <w:r w:rsidRPr="003F3C98">
        <w:t>using</w:t>
      </w:r>
      <w:proofErr w:type="spellEnd"/>
      <w:r w:rsidRPr="003F3C98">
        <w:t xml:space="preserve"> AI in 2024“ lag bei 78 % der Organisationen (gegenüber 55 % im Vorjahr)</w:t>
      </w:r>
      <w:r w:rsidR="00EF75A7">
        <w:rPr>
          <w:rStyle w:val="Funotenzeichen"/>
        </w:rPr>
        <w:footnoteReference w:id="46"/>
      </w:r>
      <w:r w:rsidRPr="003F3C98">
        <w:t xml:space="preserve"> und eine wachsende</w:t>
      </w:r>
      <w:r w:rsidR="00330C5F">
        <w:t xml:space="preserve"> F</w:t>
      </w:r>
      <w:r w:rsidR="00330C5F" w:rsidRPr="00330C5F">
        <w:t>orschung bestätigt, dass der Einsatz von KI nicht nur die Produktivität steigert, sondern in vielen Fällen auch dazu beiträgt, Unterschiede zwischen geringer und hoch qualifizierten Arbeitskräften zu verringern.</w:t>
      </w:r>
      <w:r w:rsidR="000A130D">
        <w:rPr>
          <w:rStyle w:val="Funotenzeichen"/>
        </w:rPr>
        <w:footnoteReference w:id="47"/>
      </w:r>
      <w:r w:rsidRPr="003F3C98">
        <w:t xml:space="preserve"> Auch das Bauwesen wird voraussichtlich davon profitieren, indem Planungsabläufe effizienter werden und komplexes Wissen leichter verfügbar ist.</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comments xmlns:w="http://schemas.openxmlformats.org/wordprocessingml/2006/main">
  <w:comment w:id="1" w:author="KI Korrekturtool" w:date="2025-07-22T14:33:17Z" w:initials="KI">
    <w:p>
      <w:pPr>
        <w:pStyle w:val="CommentText"/>
      </w:pPr>
      <w:r>
        <w:rPr>
          <w:color w:val="4169E1"/>
          <w:sz w:val="20"/>
        </w:rPr>
        <w:t xml:space="preserve">KI-Verbesserung: Wissenschaftlicher Ausdruck - Vorschlag: Large Language Models (LLMs) - Begründung: Abkürzung beim ersten Gebrauch ausschreiben - Vertrauen: 90%</w:t>
      </w:r>
    </w:p>
  </w:comment>
  <w:comment w:id="2" w:author="KI Korrekturtool" w:date="2025-07-22T14:33:17Z" w:initials="KI">
    <w:p>
      <w:pPr>
        <w:pStyle w:val="CommentText"/>
      </w:pPr>
      <w:r>
        <w:rPr>
          <w:color w:val="228B22"/>
          <w:sz w:val="20"/>
        </w:rPr>
        <w:t xml:space="preserve">KI-Verbesserung: Klarheit - Vorschlag: Relevanz künstlicher Intelligenz - Begründung: Abkürzung ausschreiben für bessere Verständlichkeit - Vertrauen: 80%</w:t>
      </w:r>
    </w:p>
  </w:comment>
</w:comments>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